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（假日）1-2月【八度暹罗】泰国曼谷、芭提雅双飞6天（纯玩）行程单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ZLJRQY-BDXL-QY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欣赏泰国国宝级艺术--孔剧：沙拉查棱功皇家剧院
                <w:br/>
                             打卡新晋网红景点： 水门大金佛、杜拉拉水上市场，实弹射击-爽泰庄园四合一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amp;quot;中国城&amp;quot;，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6、保险：中国个人旅游意外险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br/>
                <w:br/>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2026-04-03T18:28:26+08:00</dcterms:created>
  <dcterms:modified xsi:type="dcterms:W3CDTF">2026-04-03T18:28:26+08:00</dcterms:modified>
</cp:coreProperties>
</file>

<file path=docProps/custom.xml><?xml version="1.0" encoding="utf-8"?>
<Properties xmlns="http://schemas.openxmlformats.org/officeDocument/2006/custom-properties" xmlns:vt="http://schemas.openxmlformats.org/officeDocument/2006/docPropsVTypes"/>
</file>