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漫游澳门经典特惠一天|大三巴|渔人码头|妈祖庙|澳门皇宫外景|巴黎人铁塔|威尼斯人度假城行程单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广州市区—珠海港珠澳大桥公路口岸澳门过关—大三巴—渔人码头—妈祖阁—葡京人.澳门皇宫外景—午餐 ：本地餐厅—银河钻石表演—巴黎人铁塔—威尼斯人度假城—结束行程</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w:br/>
                前往渔人码头（停留时间约 30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享用午餐. 四选一中葡商务套餐（停留时间约40分钟）
                <w:br/>
                前往澳门独家午餐在著名的渔人码头享用中葡商务套餐（四选一套餐 ， 饮品免费任饮）干净卫生 ，美味 ，餐厅升级特色美食套餐游客品尝 ，同时为提升游客体验感 ，每人一份 ，减少吃团餐 ，一起夹菜的烦恼 ，当天菜品以餐厅出品为准！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约17：00结束愉快的行程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