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6天4晚 | 广州CZ往返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SA1740628658sK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回程：巴厘岛-广州 CZ626/0030-0535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2-9人纯玩小团
                <w:br/>
                【品质小团】纯玩2-9人小团
                <w:br/>
                【豪气住宿】 3晚Swiss图班级别或同级+1晚别墅
                <w:br/>
                【海岛畅游】火遍全网的佩妮达岛西线打卡（精灵坠崖-天仙裂痕-天神浴池+浮潜）
                <w:br/>
                【网红打卡】打卡ALAS HARUM网红俱乐部(含鸟巢+德格拉朗梯田+下午茶)
                <w:br/>
                【特别安排】升级1晚别墅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自由活动(享受悠闲自由时光，不含车/餐/导)--送机--巴厘岛--广州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【机票】广州往返巴厘岛机票（含机建燃油税）
                <w:br/>
                【住宿】3晚SWISS图班当地五星同级酒店+1晚别墅或同级
                <w:br/>
                【用餐】全程4正4早（正餐为行程所列，如航空公司航班时间临时调整，我社有权根据实际航班时间安排用餐，不做任何赔偿所有餐食如自动放弃，款项恕不退还）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3晚网评四钻参考酒店：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4.郁金香度假村别墅房型或同级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2025-09-29T05:29:56+08:00</dcterms:created>
  <dcterms:modified xsi:type="dcterms:W3CDTF">2025-09-29T05:29:56+08:00</dcterms:modified>
</cp:coreProperties>
</file>

<file path=docProps/custom.xml><?xml version="1.0" encoding="utf-8"?>
<Properties xmlns="http://schemas.openxmlformats.org/officeDocument/2006/custom-properties" xmlns:vt="http://schemas.openxmlformats.org/officeDocument/2006/docPropsVTypes"/>
</file>