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广州-阆中CZ8691/08:40-11:05
                <w:br/>
                阆中-广州CZ8692/11:55-14:20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完毕后自由寻找川北美食：川北凉粉、两面锅盔、张飞牛肉、醋饮…赠送体验阆中【养生醋沐脚】。
                <w:br/>
                交通：汽车
                <w:br/>
                景点：【剑门关风景区--河谷徒步文化线路】、【阆中古城】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巴中--阆中（160公里约2小时）--广州（参考航班：）
                <w:br/>
                早餐后， 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