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（假日）乐玩芽庄亲子五天行程单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土特产超市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产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br/>
                5、签证所需资料：
                <w:br/>
                1）半年期以上有效的护照正本；
                <w:br/>
                2）相片2张（2寸白底）；
                <w:br/>
                3）需提前提供护照及相片的电子版，用于做落地签的批文。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2026-04-03T14:05:23+08:00</dcterms:created>
  <dcterms:modified xsi:type="dcterms:W3CDTF">2026-04-03T14:05:23+08:00</dcterms:modified>
</cp:coreProperties>
</file>

<file path=docProps/custom.xml><?xml version="1.0" encoding="utf-8"?>
<Properties xmlns="http://schemas.openxmlformats.org/officeDocument/2006/custom-properties" xmlns:vt="http://schemas.openxmlformats.org/officeDocument/2006/docPropsVTypes"/>
</file>