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（假日）W2线：直飞浙东南行程单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YJ-20260427-W2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第一天：广州—丽水                                  （含餐：早X中X晚X）             住：丽水
                <w:br/>
                集合：请于广州机场见蓝色“誉江南”旗帜集合，我们的工作人员为您办理乘机手续、行李托运、登机指引等事宜，乘机前往丽水，抵达后专职导游接机，开启浙东南之旅。
                <w:br/>
                入住：南城广场宾馆或同级酒店
                <w:br/>
                第二天：丽水                                              （含餐：早√中X晚√）             住：丽水
                <w:br/>
                游览：【南明湖·应星楼·处州府城】（游览时间不少于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车赴：【中国畲乡之窗大均古村】（游玩时间不少于40分钟）始建于唐末五季初期，小镇文风浓郁，人文底蕴深厚，在建筑上形成具有明清风格的古朴的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入住：南城广场宾馆或同级酒店
                <w:br/>
                第三天：仙都—丽水                           （含餐：早√中√晚X）                     住：仙居
                <w:br/>
                游览：仙都【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入住：仙居麦田·亚曼度假酒店或同等级酒店
                <w:br/>
                第四天：仙居—丽水                                （含餐：早√中X晚√）                住：丽水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入住：南城广场宾馆或同级酒店
                <w:br/>
                第五天：丽水—广州                                   （含餐：早√中X晚√）              住：自理
                <w:br/>
                游览：【木雕艺术殿堂——松阳黄家大院】（游玩时间不少于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不少于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不含景交+换乘车30元/人，游玩时间不少于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三晚商务酒店（未挂牌），升级一晚精品3钻酒店；不设三人房和加床；全程房差：补房差400元/人，退房差150元/人；行程中披露的参考酒店如遇节假日满房、政府征用酒店等情况，可能临时新增其他行程公示外酒店，敬请见谅。
                <w:br/>
                3、用餐：行程中含4早4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340元/人，儿童120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2026-06-08T11:09:29+08:00</dcterms:created>
  <dcterms:modified xsi:type="dcterms:W3CDTF">2026-06-08T11:09:29+08:00</dcterms:modified>
</cp:coreProperties>
</file>

<file path=docProps/custom.xml><?xml version="1.0" encoding="utf-8"?>
<Properties xmlns="http://schemas.openxmlformats.org/officeDocument/2006/custom-properties" xmlns:vt="http://schemas.openxmlformats.org/officeDocument/2006/docPropsVTypes"/>
</file>